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23" w:rsidRDefault="00711D23" w:rsidP="00711D23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711D23" w:rsidRDefault="00711D23" w:rsidP="00711D23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4A1351" w:rsidRDefault="004A1351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1D23" w:rsidRDefault="00711D23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687D64">
        <w:rPr>
          <w:rFonts w:ascii="Times New Roman" w:hAnsi="Times New Roman" w:cs="Times New Roman"/>
          <w:b/>
          <w:sz w:val="24"/>
          <w:szCs w:val="24"/>
          <w:lang w:val="uk-UA"/>
        </w:rPr>
        <w:t>124</w:t>
      </w:r>
    </w:p>
    <w:p w:rsidR="00711D23" w:rsidRDefault="00711D23" w:rsidP="00711D23">
      <w:pPr>
        <w:pStyle w:val="Iauiue"/>
        <w:ind w:firstLine="540"/>
        <w:jc w:val="both"/>
        <w:rPr>
          <w:szCs w:val="24"/>
          <w:lang w:val="uk-UA"/>
        </w:rPr>
      </w:pPr>
    </w:p>
    <w:p w:rsidR="00711D23" w:rsidRDefault="0027713A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bookmarkStart w:id="0" w:name="_GoBack"/>
      <w:bookmarkEnd w:id="0"/>
      <w:r w:rsidR="00AD0170">
        <w:rPr>
          <w:rFonts w:ascii="Times New Roman" w:hAnsi="Times New Roman" w:cs="Times New Roman"/>
          <w:sz w:val="24"/>
          <w:szCs w:val="24"/>
          <w:lang w:val="uk-UA"/>
        </w:rPr>
        <w:t xml:space="preserve"> жовтня </w:t>
      </w:r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 2020 року </w:t>
      </w:r>
    </w:p>
    <w:p w:rsidR="00AD0170" w:rsidRDefault="008439FE" w:rsidP="00711D23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</w:t>
      </w:r>
      <w:r w:rsidR="00AD0170">
        <w:rPr>
          <w:b/>
          <w:szCs w:val="24"/>
          <w:lang w:val="uk-UA"/>
        </w:rPr>
        <w:t xml:space="preserve"> внесення змін до розпорядження </w:t>
      </w:r>
    </w:p>
    <w:p w:rsidR="00687D64" w:rsidRDefault="00687D64" w:rsidP="00687D6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Вишгородського міського голови </w:t>
      </w:r>
    </w:p>
    <w:p w:rsidR="00711D23" w:rsidRDefault="00AD0170" w:rsidP="00687D6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від</w:t>
      </w:r>
      <w:r w:rsidR="00687D64">
        <w:rPr>
          <w:b/>
          <w:szCs w:val="24"/>
          <w:lang w:val="uk-UA"/>
        </w:rPr>
        <w:t xml:space="preserve"> 29.09.2020 року № 114 </w:t>
      </w:r>
      <w:r>
        <w:rPr>
          <w:b/>
          <w:szCs w:val="24"/>
          <w:lang w:val="uk-UA"/>
        </w:rPr>
        <w:t xml:space="preserve"> </w:t>
      </w:r>
    </w:p>
    <w:p w:rsidR="00711D23" w:rsidRDefault="00711D23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D94DBF" w:rsidRDefault="00711D23" w:rsidP="00EC1E60">
      <w:pPr>
        <w:pStyle w:val="Iauiue"/>
        <w:ind w:firstLine="540"/>
        <w:jc w:val="both"/>
        <w:outlineLvl w:val="0"/>
        <w:rPr>
          <w:b/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</w:t>
      </w:r>
      <w:r w:rsidR="00EC1E60">
        <w:rPr>
          <w:szCs w:val="24"/>
          <w:lang w:val="uk-UA"/>
        </w:rPr>
        <w:t xml:space="preserve">сцеве самоврядування в Україні», </w:t>
      </w:r>
      <w:proofErr w:type="spellStart"/>
      <w:r w:rsidR="00EC1E60">
        <w:rPr>
          <w:szCs w:val="24"/>
          <w:lang w:val="uk-UA"/>
        </w:rPr>
        <w:t>в</w:t>
      </w:r>
      <w:r w:rsidR="00D94DBF">
        <w:rPr>
          <w:szCs w:val="24"/>
          <w:lang w:val="uk-UA"/>
        </w:rPr>
        <w:t>нести</w:t>
      </w:r>
      <w:proofErr w:type="spellEnd"/>
      <w:r w:rsidR="00D94DBF">
        <w:rPr>
          <w:szCs w:val="24"/>
          <w:lang w:val="uk-UA"/>
        </w:rPr>
        <w:t xml:space="preserve"> зміни до розпорядження Вишгородського міського голови </w:t>
      </w:r>
      <w:r w:rsidR="00EC1E60">
        <w:rPr>
          <w:szCs w:val="24"/>
          <w:lang w:val="uk-UA"/>
        </w:rPr>
        <w:t xml:space="preserve">                               </w:t>
      </w:r>
      <w:r w:rsidR="00D94DBF">
        <w:rPr>
          <w:szCs w:val="24"/>
          <w:lang w:val="uk-UA"/>
        </w:rPr>
        <w:t xml:space="preserve">від 29.09.2020 року № 114 </w:t>
      </w:r>
      <w:r w:rsidR="00D94DBF" w:rsidRPr="00687D64">
        <w:rPr>
          <w:szCs w:val="24"/>
          <w:lang w:val="uk-UA"/>
        </w:rPr>
        <w:t>«Про скликання чергової LХ</w:t>
      </w:r>
      <w:r w:rsidR="00D94DBF" w:rsidRPr="00687D64">
        <w:rPr>
          <w:szCs w:val="24"/>
          <w:lang w:val="en-US"/>
        </w:rPr>
        <w:t>X</w:t>
      </w:r>
      <w:r w:rsidR="00D94DBF" w:rsidRPr="00687D64">
        <w:rPr>
          <w:color w:val="000000"/>
          <w:szCs w:val="24"/>
          <w:shd w:val="clear" w:color="auto" w:fill="F9FFF9"/>
          <w:lang w:val="uk-UA"/>
        </w:rPr>
        <w:t xml:space="preserve"> </w:t>
      </w:r>
      <w:r w:rsidR="00D94DBF" w:rsidRPr="00687D64">
        <w:rPr>
          <w:szCs w:val="24"/>
          <w:lang w:val="uk-UA"/>
        </w:rPr>
        <w:t xml:space="preserve">сесії Вишгородської міської ради VIІ </w:t>
      </w:r>
      <w:r w:rsidR="0091519E">
        <w:rPr>
          <w:szCs w:val="24"/>
          <w:lang w:val="uk-UA"/>
        </w:rPr>
        <w:t>скликання:</w:t>
      </w:r>
      <w:r w:rsidR="0057430F">
        <w:rPr>
          <w:szCs w:val="24"/>
          <w:lang w:val="uk-UA"/>
        </w:rPr>
        <w:t>»</w:t>
      </w:r>
      <w:r w:rsidR="00EC1E60">
        <w:rPr>
          <w:szCs w:val="24"/>
          <w:lang w:val="uk-UA"/>
        </w:rPr>
        <w:t xml:space="preserve"> та викласти його в новій редакції</w:t>
      </w:r>
      <w:r w:rsidR="00D94DBF">
        <w:rPr>
          <w:szCs w:val="24"/>
          <w:lang w:val="uk-UA"/>
        </w:rPr>
        <w:t>:</w:t>
      </w:r>
    </w:p>
    <w:p w:rsidR="00EC1E60" w:rsidRDefault="00EC1E60" w:rsidP="00EC1E6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EC1E60" w:rsidRDefault="00EC1E60" w:rsidP="00EC1E6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«Керуючись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LХ</w:t>
      </w:r>
      <w:r>
        <w:rPr>
          <w:color w:val="000000"/>
          <w:szCs w:val="24"/>
          <w:shd w:val="clear" w:color="auto" w:fill="F9FFF9"/>
          <w:lang w:val="en-US"/>
        </w:rPr>
        <w:t>X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EC1E60" w:rsidRDefault="00EC1E60" w:rsidP="00EC1E6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EC1E60" w:rsidRDefault="00EC1E60" w:rsidP="00EC1E60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="0027713A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EC1E60" w:rsidRDefault="00EC1E60" w:rsidP="00EC1E6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1E60" w:rsidRPr="00F4120B" w:rsidRDefault="00EC1E60" w:rsidP="00EC1E60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Положення про уповноважену особу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(осіб) з організації та здійснення спрощених </w:t>
      </w:r>
      <w:proofErr w:type="spellStart"/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закупівель</w:t>
      </w:r>
      <w:proofErr w:type="spellEnd"/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товарів, робіт і послуг у Вишгородській міській раді.</w:t>
      </w:r>
    </w:p>
    <w:p w:rsidR="00EC1E60" w:rsidRPr="00F4120B" w:rsidRDefault="00EC1E60" w:rsidP="00EC1E60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 12/63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>від 14.07.2016 року «Про утворення Тендерного комітету Вишгородської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C1E60" w:rsidRPr="00F4120B" w:rsidRDefault="00EC1E60" w:rsidP="00EC1E60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комунальну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proofErr w:type="gramStart"/>
      <w:r w:rsidRPr="00F4120B"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</w:rPr>
        <w:t>квартир</w:t>
      </w:r>
      <w:proofErr w:type="gramEnd"/>
      <w:r w:rsidRPr="00F4120B">
        <w:rPr>
          <w:rFonts w:ascii="Times New Roman" w:hAnsi="Times New Roman" w:cs="Times New Roman"/>
          <w:sz w:val="24"/>
          <w:szCs w:val="24"/>
        </w:rPr>
        <w:t xml:space="preserve"> № 7 та 323 у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№ 11-Г по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Кургузова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1E60" w:rsidRPr="00F4120B" w:rsidRDefault="00EC1E60" w:rsidP="00EC1E60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прийняття у комунальну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об'єктів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інженерної інфраструктури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F4120B">
        <w:rPr>
          <w:rFonts w:ascii="Times New Roman" w:hAnsi="Times New Roman" w:cs="Times New Roman"/>
          <w:sz w:val="24"/>
          <w:szCs w:val="24"/>
          <w:lang w:val="uk-UA"/>
        </w:rPr>
        <w:t>Велесгард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2015».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1E60" w:rsidRPr="00F4120B" w:rsidRDefault="00EC1E60" w:rsidP="00EC1E60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  <w:lang w:val="uk-UA"/>
        </w:rPr>
        <w:t>Про  прийняття у комунальну власність об'єктів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інженерної інфраструктури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ТОВ  </w:t>
      </w: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«ДБК-ПАРТНЕР».</w:t>
      </w:r>
    </w:p>
    <w:p w:rsidR="00EC1E60" w:rsidRPr="00F4120B" w:rsidRDefault="00EC1E60" w:rsidP="00EC1E60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  <w:lang w:val="uk-UA"/>
        </w:rPr>
        <w:t>Про  прийняття у комунальну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під'їзної дороги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від ТОВ  </w:t>
      </w: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C1E60" w:rsidRPr="00F4120B" w:rsidRDefault="00EC1E60" w:rsidP="00EC1E60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Pr="00F4120B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Детального плану території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земельної ділянки, що розташована по вул. Парусна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в м. Вишгород Київської області, площею близько 36,00 га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EC1E60" w:rsidRPr="004A1351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F4120B">
        <w:rPr>
          <w:rStyle w:val="xfmc2"/>
          <w:rFonts w:ascii="Times New Roman" w:hAnsi="Times New Roman" w:cs="Times New Roman"/>
          <w:sz w:val="24"/>
          <w:szCs w:val="24"/>
          <w:lang w:val="uk-UA"/>
        </w:rPr>
        <w:t>Про внесення змін 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Детального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плану території, що розташована по вул. </w:t>
      </w:r>
      <w:proofErr w:type="spellStart"/>
      <w:r w:rsidRPr="00F4120B">
        <w:rPr>
          <w:rFonts w:ascii="Times New Roman" w:hAnsi="Times New Roman" w:cs="Times New Roman"/>
          <w:sz w:val="24"/>
          <w:szCs w:val="24"/>
          <w:lang w:val="uk-UA"/>
        </w:rPr>
        <w:t>Новопромислова</w:t>
      </w:r>
      <w:proofErr w:type="spellEnd"/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вул. Кульчицького  в місті Вишгород Київської області, площею близько 41,00 га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134697"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"Детальний план території по вулиці Ватутіна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у місті Вишгород Київської області, площею 7,5 га"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1E60" w:rsidRPr="004A1351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 "Внесення змін до детального плану території кладовища, що розташоване біля вулиці Яблунева в місті Вишгород Київської області, площею 45,00 га".</w:t>
      </w:r>
    </w:p>
    <w:p w:rsidR="00EC1E60" w:rsidRPr="004A1351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351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проведення інвентаризації земель комунальної власності.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 Вишгородської міської ради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(площею 0,0099 га).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 земель Вишгородської міської ради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(площею 0,0045 га).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 Вишгородської міської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(площею 0,1457 га)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1E60" w:rsidRPr="004A1351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внесення змін до рішення Вишгородської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sz w:val="24"/>
          <w:szCs w:val="24"/>
          <w:lang w:val="uk-UA"/>
        </w:rPr>
        <w:t>міської ради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sz w:val="24"/>
          <w:szCs w:val="24"/>
          <w:lang w:val="uk-UA"/>
        </w:rPr>
        <w:t>64/91 від 26.06.2020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Про проведення інвентаризації земель комунальної власності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4A1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1E60" w:rsidRPr="004A1351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№51/14 від 04.04.2019 року</w:t>
      </w:r>
      <w:r w:rsidRPr="004A1351">
        <w:rPr>
          <w:lang w:val="uk-UA"/>
        </w:rPr>
        <w:t xml:space="preserve"> 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(гр. Волошина Н.В.)</w:t>
      </w:r>
    </w:p>
    <w:p w:rsidR="00EC1E60" w:rsidRPr="004A1351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№33/12 від 22.12.2017 року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гр. </w:t>
      </w:r>
      <w:proofErr w:type="spellStart"/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Слухаєвій</w:t>
      </w:r>
      <w:proofErr w:type="spellEnd"/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Т.А.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Артьомову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Блінді</w:t>
      </w:r>
      <w:proofErr w:type="spellEnd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О.Є.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Дибань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Д.О.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Р.В.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Заматовій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О.М.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</w:rPr>
        <w:t>вул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</w:rPr>
        <w:t>Глібова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>, 45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Заматовій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О.М.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</w:rPr>
        <w:t>вул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</w:rPr>
        <w:t>Шкільна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Коваленку Д.О.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Курочці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134697">
        <w:rPr>
          <w:rFonts w:ascii="Times New Roman" w:hAnsi="Times New Roman" w:cs="Times New Roman"/>
          <w:i/>
          <w:sz w:val="24"/>
          <w:szCs w:val="24"/>
        </w:rPr>
        <w:t>гр. Л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азаренко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134697">
        <w:rPr>
          <w:rFonts w:ascii="Times New Roman" w:hAnsi="Times New Roman" w:cs="Times New Roman"/>
          <w:i/>
          <w:sz w:val="24"/>
          <w:szCs w:val="24"/>
        </w:rPr>
        <w:t>гр. Ч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икирис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І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proofErr w:type="gramEnd"/>
      <w:r w:rsidRPr="001346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 меж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134697">
        <w:rPr>
          <w:rFonts w:ascii="Times New Roman" w:hAnsi="Times New Roman" w:cs="Times New Roman"/>
          <w:sz w:val="24"/>
          <w:szCs w:val="24"/>
        </w:rPr>
        <w:t>гр. Михайлову А.С.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Михайлову А.С.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</w:rPr>
        <w:t>гр. Нор С.О.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</w:rPr>
        <w:t xml:space="preserve">на 49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Реун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proofErr w:type="gramEnd"/>
      <w:r w:rsidRPr="001346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 меж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134697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Романів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І.М.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Сіренку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Скляренко В.І.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згоди на розробку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технічної документації із землеустрою щодо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встановлення (відновлення) меж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в натурі (на місцевості)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ФОП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Свистун С.І.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Ващука О.С.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Гайдаку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В.П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</w:rPr>
        <w:t>Гриценко В.Є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Давидок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О.С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  <w:lang w:val="uk-UA"/>
        </w:rPr>
        <w:t>Єфіменку</w:t>
      </w:r>
      <w:proofErr w:type="spellEnd"/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Журавель О.І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Зайцю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В.О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Іванець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Р.П.)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Іващенку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громадянам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Ігнатьєвій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О.С., гр. Лещенко Т.Я)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Іщенко Л.В.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Коломієць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А.В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Корбановій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Н.В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Мартиненко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Т.Ю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Паламарчук Т.Б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</w:rPr>
        <w:t>Попкову В.В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Радзієвському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В.І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яких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Султанової Т.О.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Ткаченко М.П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  <w:lang w:val="uk-UA"/>
        </w:rPr>
        <w:t>Торшиній</w:t>
      </w:r>
      <w:proofErr w:type="spellEnd"/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К.М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Треусу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А.О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Хомича О.Л.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  <w:lang w:val="uk-UA"/>
        </w:rPr>
        <w:t>Хотинь</w:t>
      </w:r>
      <w:proofErr w:type="spellEnd"/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І.І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E60" w:rsidRPr="00134697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Шаповала О.О.</w:t>
      </w:r>
    </w:p>
    <w:p w:rsidR="00EC1E60" w:rsidRPr="006F64FF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громадянам</w:t>
      </w:r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134697">
        <w:rPr>
          <w:rFonts w:ascii="Times New Roman" w:hAnsi="Times New Roman" w:cs="Times New Roman"/>
          <w:i/>
          <w:sz w:val="24"/>
          <w:szCs w:val="24"/>
        </w:rPr>
        <w:t>гр. Ш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кірі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І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Р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огожинській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Я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А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Дубровець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 П.,                    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О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ваденко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І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Н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овохацькій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К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П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ідлісному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М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Х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арченку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                   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Є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ремі </w:t>
      </w:r>
      <w:r w:rsidRPr="00134697">
        <w:rPr>
          <w:rFonts w:ascii="Times New Roman" w:hAnsi="Times New Roman" w:cs="Times New Roman"/>
          <w:i/>
          <w:sz w:val="24"/>
          <w:szCs w:val="24"/>
        </w:rPr>
        <w:t>А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С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трільчуку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Т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С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іренко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В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олошину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О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вакімян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С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EC1E60" w:rsidRPr="006F64FF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ФОП Білоусову О.В.</w:t>
      </w:r>
    </w:p>
    <w:p w:rsidR="00EC1E60" w:rsidRPr="006F64FF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МКП «Творчість»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C1E60" w:rsidRPr="006F64FF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поділу та об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єднання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земельної ділянки, яка знаходиться в оренді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ПП «ТАКО»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C1E60" w:rsidRPr="006F64FF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ТОВ «ДІМ і САД».</w:t>
      </w:r>
    </w:p>
    <w:p w:rsidR="00EC1E60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>ТОВ «ЕКОПРОЕКТ – 2000»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EC1E60" w:rsidRPr="006F64FF" w:rsidRDefault="00EC1E60" w:rsidP="00EC1E60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«ТСК – ЦЕНТР»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C1E60" w:rsidRPr="000B60D2" w:rsidRDefault="00EC1E60" w:rsidP="00EC1E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1E60" w:rsidRDefault="00EC1E60" w:rsidP="00EC1E6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458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EC1E60" w:rsidRPr="004A1351" w:rsidRDefault="00EC1E60" w:rsidP="00EC1E60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О. Момот</w:t>
      </w:r>
    </w:p>
    <w:sectPr w:rsidR="00EC1E60" w:rsidRPr="004A1351" w:rsidSect="006227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23"/>
    <w:rsid w:val="000A2F6D"/>
    <w:rsid w:val="000B60D2"/>
    <w:rsid w:val="000E5B99"/>
    <w:rsid w:val="00134697"/>
    <w:rsid w:val="00172F25"/>
    <w:rsid w:val="0027713A"/>
    <w:rsid w:val="002E33D7"/>
    <w:rsid w:val="00392C68"/>
    <w:rsid w:val="004219B5"/>
    <w:rsid w:val="004A1351"/>
    <w:rsid w:val="005364CA"/>
    <w:rsid w:val="0057430F"/>
    <w:rsid w:val="005B183A"/>
    <w:rsid w:val="0062271D"/>
    <w:rsid w:val="00656245"/>
    <w:rsid w:val="00687D64"/>
    <w:rsid w:val="006F64FF"/>
    <w:rsid w:val="00711D23"/>
    <w:rsid w:val="00803E26"/>
    <w:rsid w:val="008439FE"/>
    <w:rsid w:val="008E5DC3"/>
    <w:rsid w:val="008F774B"/>
    <w:rsid w:val="0091519E"/>
    <w:rsid w:val="0092787E"/>
    <w:rsid w:val="009B14C9"/>
    <w:rsid w:val="00A16BDD"/>
    <w:rsid w:val="00A90925"/>
    <w:rsid w:val="00AD0170"/>
    <w:rsid w:val="00BA45CB"/>
    <w:rsid w:val="00C80F3B"/>
    <w:rsid w:val="00D94DBF"/>
    <w:rsid w:val="00E31C82"/>
    <w:rsid w:val="00E62DA9"/>
    <w:rsid w:val="00EC1E60"/>
    <w:rsid w:val="00F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BB56"/>
  <w15:docId w15:val="{8D5CFBD3-82AA-4FD5-AD52-EDBB885C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C47E-C99C-46CF-BC73-877F5604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1060</Words>
  <Characters>7867</Characters>
  <Application>Microsoft Office Word</Application>
  <DocSecurity>0</DocSecurity>
  <Lines>178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2020-10-13T07:38:00Z</cp:lastPrinted>
  <dcterms:created xsi:type="dcterms:W3CDTF">2020-10-12T13:57:00Z</dcterms:created>
  <dcterms:modified xsi:type="dcterms:W3CDTF">2020-10-13T07:39:00Z</dcterms:modified>
</cp:coreProperties>
</file>