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AB5D30" w:rsidRDefault="00AB5D30" w:rsidP="00AB5D30">
      <w:pPr>
        <w:pStyle w:val="7"/>
        <w:ind w:firstLine="0"/>
        <w:rPr>
          <w:sz w:val="16"/>
          <w:szCs w:val="16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276C48" w:rsidRDefault="004863A3" w:rsidP="004863A3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350B15">
        <w:rPr>
          <w:rFonts w:ascii="Times New Roman CYR" w:hAnsi="Times New Roman CYR"/>
        </w:rPr>
        <w:t>32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350B15">
        <w:rPr>
          <w:rFonts w:ascii="Times New Roman CYR" w:hAnsi="Times New Roman CYR"/>
          <w:sz w:val="24"/>
          <w:szCs w:val="24"/>
        </w:rPr>
        <w:t>01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276C48">
        <w:rPr>
          <w:rFonts w:ascii="Times New Roman CYR" w:hAnsi="Times New Roman CYR"/>
          <w:sz w:val="24"/>
          <w:szCs w:val="24"/>
        </w:rPr>
        <w:t xml:space="preserve"> </w:t>
      </w:r>
      <w:r w:rsidR="00350B15">
        <w:rPr>
          <w:rFonts w:ascii="Times New Roman CYR" w:hAnsi="Times New Roman CYR"/>
          <w:sz w:val="24"/>
          <w:szCs w:val="24"/>
        </w:rPr>
        <w:t>березня</w:t>
      </w:r>
      <w:r w:rsidR="00014107">
        <w:rPr>
          <w:rFonts w:ascii="Times New Roman CYR" w:hAnsi="Times New Roman CYR"/>
          <w:sz w:val="24"/>
          <w:szCs w:val="24"/>
        </w:rPr>
        <w:t xml:space="preserve"> 202</w:t>
      </w:r>
      <w:r w:rsidR="00276C48">
        <w:rPr>
          <w:rFonts w:ascii="Times New Roman CYR" w:hAnsi="Times New Roman CYR"/>
          <w:sz w:val="24"/>
          <w:szCs w:val="24"/>
        </w:rPr>
        <w:t>1</w:t>
      </w:r>
      <w:r w:rsidRPr="00276C48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  </w:t>
      </w:r>
      <w:r>
        <w:rPr>
          <w:rFonts w:ascii="Times New Roman CYR" w:hAnsi="Times New Roman CYR"/>
          <w:sz w:val="24"/>
          <w:szCs w:val="24"/>
        </w:rPr>
        <w:t xml:space="preserve"> 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350B15"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="00276C48">
        <w:rPr>
          <w:rFonts w:ascii="Times New Roman" w:hAnsi="Times New Roman" w:cs="Times New Roman"/>
          <w:b/>
          <w:sz w:val="24"/>
          <w:szCs w:val="24"/>
        </w:rPr>
        <w:t>1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F9F" w:rsidRPr="0019293A" w:rsidRDefault="00550F9F" w:rsidP="00550F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F8352F">
        <w:rPr>
          <w:rFonts w:ascii="Times New Roman" w:hAnsi="Times New Roman" w:cs="Times New Roman"/>
          <w:sz w:val="24"/>
          <w:szCs w:val="24"/>
        </w:rPr>
        <w:t>1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</w:t>
      </w:r>
      <w:r w:rsidR="00276C48">
        <w:rPr>
          <w:rFonts w:ascii="Times New Roman" w:hAnsi="Times New Roman" w:cs="Times New Roman"/>
          <w:sz w:val="24"/>
          <w:szCs w:val="24"/>
        </w:rPr>
        <w:t>9.12.2020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276C48">
        <w:rPr>
          <w:rFonts w:ascii="Times New Roman" w:hAnsi="Times New Roman" w:cs="Times New Roman"/>
          <w:sz w:val="24"/>
          <w:szCs w:val="24"/>
        </w:rPr>
        <w:t>4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276C48">
        <w:rPr>
          <w:rFonts w:ascii="Times New Roman" w:hAnsi="Times New Roman" w:cs="Times New Roman"/>
          <w:sz w:val="24"/>
          <w:szCs w:val="24"/>
        </w:rPr>
        <w:t>2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бюджет Вишгородської міської </w:t>
      </w:r>
      <w:r w:rsidR="00276C4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на 202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рік», Рішення сесії Вишгородської міської ради від 2</w:t>
      </w:r>
      <w:r w:rsidR="00276C48">
        <w:rPr>
          <w:rFonts w:ascii="Times New Roman" w:hAnsi="Times New Roman" w:cs="Times New Roman"/>
          <w:sz w:val="24"/>
          <w:szCs w:val="24"/>
        </w:rPr>
        <w:t>9.12.2020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276C48">
        <w:rPr>
          <w:rFonts w:ascii="Times New Roman" w:hAnsi="Times New Roman" w:cs="Times New Roman"/>
          <w:sz w:val="24"/>
          <w:szCs w:val="24"/>
        </w:rPr>
        <w:t>4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затвердження міських програм розвитку на 202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B15" w:rsidRPr="00350B15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11.02.2021 р. № 6/6 "Про внесення змін до рішення Вишгородської міської ради від 29.12.2020 р. № 4/2 "Про бюджет Вишгородської міської територіальної громади на 2021 рік" та додатків 1,2,3,5,6,7 до нього"</w:t>
      </w:r>
      <w:r w:rsidR="00350B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з 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атвердити паспорт  бюджетн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ої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програм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м програмної класифікації видатків та кредитування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5471CD"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5D30" w:rsidRPr="0019293A" w:rsidRDefault="00AB5D3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1CD" w:rsidRDefault="005471CD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61A50" w:rsidRDefault="00961A5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1CD" w:rsidRPr="0019293A" w:rsidRDefault="00350B15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961A50">
        <w:rPr>
          <w:rFonts w:ascii="Times New Roman" w:hAnsi="Times New Roman" w:cs="Times New Roman"/>
          <w:b/>
          <w:sz w:val="24"/>
          <w:szCs w:val="24"/>
        </w:rPr>
        <w:t>2</w:t>
      </w:r>
      <w:r w:rsidR="00470528" w:rsidRPr="00063A60">
        <w:rPr>
          <w:rFonts w:ascii="Times New Roman" w:hAnsi="Times New Roman" w:cs="Times New Roman"/>
          <w:b/>
          <w:sz w:val="24"/>
          <w:szCs w:val="24"/>
        </w:rPr>
        <w:t>010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470528" w:rsidRPr="0019293A">
        <w:rPr>
          <w:rFonts w:ascii="Times New Roman" w:hAnsi="Times New Roman" w:cs="Times New Roman"/>
          <w:sz w:val="24"/>
          <w:szCs w:val="24"/>
        </w:rPr>
        <w:t>«</w:t>
      </w:r>
      <w:r w:rsidR="0096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Багатопрофільна стаціонарна медична допомога населенню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A50" w:rsidRPr="0019293A" w:rsidRDefault="00350B15" w:rsidP="00961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961A5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961A50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961A5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961A5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61A50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61A5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61A50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961A50">
        <w:rPr>
          <w:rFonts w:ascii="Times New Roman" w:hAnsi="Times New Roman" w:cs="Times New Roman"/>
          <w:b/>
          <w:sz w:val="24"/>
          <w:szCs w:val="24"/>
        </w:rPr>
        <w:t>2111</w:t>
      </w:r>
      <w:r w:rsidR="00961A5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61A50">
        <w:rPr>
          <w:rFonts w:ascii="Times New Roman" w:hAnsi="Times New Roman" w:cs="Times New Roman"/>
          <w:sz w:val="24"/>
          <w:szCs w:val="24"/>
        </w:rPr>
        <w:br/>
      </w:r>
      <w:r w:rsidR="00961A50" w:rsidRPr="0019293A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6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Первинна медична допомога населенню, що надається центрами первинної медичної (медико-санітарної) допомоги</w:t>
      </w:r>
      <w:r w:rsidR="00961A5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961A5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961A5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A50" w:rsidRPr="0019293A" w:rsidRDefault="00961A5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528" w:rsidRDefault="00350B15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470528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47052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052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70528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470528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961A50">
        <w:rPr>
          <w:rFonts w:ascii="Times New Roman" w:hAnsi="Times New Roman" w:cs="Times New Roman"/>
          <w:b/>
          <w:sz w:val="24"/>
          <w:szCs w:val="24"/>
        </w:rPr>
        <w:t>2144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470528" w:rsidRPr="0019293A">
        <w:rPr>
          <w:rFonts w:ascii="Times New Roman" w:hAnsi="Times New Roman" w:cs="Times New Roman"/>
          <w:sz w:val="24"/>
          <w:szCs w:val="24"/>
        </w:rPr>
        <w:t>«</w:t>
      </w:r>
      <w:r w:rsidR="0096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Централізовані заходи з лікування хворих на цукровий та нецукровий діабет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B15" w:rsidRDefault="00350B15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B15" w:rsidRDefault="00350B15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A00E6C">
        <w:rPr>
          <w:rFonts w:ascii="Times New Roman" w:hAnsi="Times New Roman" w:cs="Times New Roman"/>
          <w:sz w:val="24"/>
          <w:szCs w:val="24"/>
        </w:rPr>
        <w:t>Скасувати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3032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пільг окремим категоріям громадян з оплати послуг зв</w:t>
      </w:r>
      <w:r w:rsidRPr="0096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язку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B15" w:rsidRDefault="00350B15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B15" w:rsidRPr="0019293A" w:rsidRDefault="00350B15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00E6C">
        <w:rPr>
          <w:rFonts w:ascii="Times New Roman" w:hAnsi="Times New Roman" w:cs="Times New Roman"/>
          <w:sz w:val="24"/>
          <w:szCs w:val="24"/>
        </w:rPr>
        <w:t>Скасувати</w:t>
      </w:r>
      <w:r w:rsidR="00A0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01131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="00716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50B15" w:rsidRPr="0019293A" w:rsidRDefault="00350B15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0B15" w:rsidRDefault="00293D73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350B1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 w:rsidRPr="00063A60">
        <w:rPr>
          <w:rFonts w:ascii="Times New Roman" w:hAnsi="Times New Roman" w:cs="Times New Roman"/>
          <w:b/>
          <w:sz w:val="24"/>
          <w:szCs w:val="24"/>
        </w:rPr>
        <w:t xml:space="preserve">0113242 </w:t>
      </w:r>
      <w:r w:rsidR="00350B15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350B15" w:rsidRPr="0019293A">
        <w:rPr>
          <w:rFonts w:ascii="Times New Roman" w:hAnsi="Times New Roman" w:cs="Times New Roman"/>
          <w:sz w:val="24"/>
          <w:szCs w:val="24"/>
        </w:rPr>
        <w:t>«</w:t>
      </w:r>
      <w:r w:rsidR="00350B15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у сфері соціального захисту і соціального забезпечення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bookmarkStart w:id="0" w:name="_GoBack"/>
      <w:bookmarkEnd w:id="0"/>
    </w:p>
    <w:p w:rsidR="00293D73" w:rsidRDefault="00293D73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0114020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Фінансова підтримка </w:t>
      </w:r>
      <w:proofErr w:type="spellStart"/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фiлармонiй</w:t>
      </w:r>
      <w:proofErr w:type="spellEnd"/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художніх і музичних колективів, ансамблів, концертних та циркових організацій», що додається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293D73">
        <w:rPr>
          <w:rFonts w:ascii="Times New Roman" w:hAnsi="Times New Roman" w:cs="Times New Roman"/>
          <w:b/>
          <w:sz w:val="24"/>
          <w:szCs w:val="24"/>
        </w:rPr>
        <w:t>0114030</w:t>
      </w:r>
      <w:r w:rsidRPr="00293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бібліотек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01140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63A60">
        <w:rPr>
          <w:rFonts w:ascii="Times New Roman" w:hAnsi="Times New Roman" w:cs="Times New Roman"/>
          <w:b/>
          <w:sz w:val="24"/>
          <w:szCs w:val="24"/>
        </w:rPr>
        <w:t>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палаців і будинків культури, клубів, центрів дозвілля та інших клубних закладів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Pr="0019293A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5031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навчально-тренувальна робота комунальних дитячо-юнацьких спортивних шкіл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0115062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Підтримка спорту вищих досягнень та організацій, які здійснюють фізкультурно-спортивну діяльність в регіоні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Pr="0019293A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0116013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Забезпечення діяльності водопровідно-каналізаційного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Pr="0019293A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0B15" w:rsidRPr="0019293A" w:rsidRDefault="00293D73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350B1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>
        <w:rPr>
          <w:rFonts w:ascii="Times New Roman" w:hAnsi="Times New Roman" w:cs="Times New Roman"/>
          <w:sz w:val="24"/>
          <w:szCs w:val="24"/>
        </w:rPr>
        <w:br/>
      </w:r>
      <w:r w:rsidR="00350B15" w:rsidRPr="0019293A">
        <w:rPr>
          <w:rFonts w:ascii="Times New Roman" w:hAnsi="Times New Roman" w:cs="Times New Roman"/>
          <w:sz w:val="24"/>
          <w:szCs w:val="24"/>
        </w:rPr>
        <w:t>«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 w:rsidR="0035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350B15" w:rsidRDefault="00350B15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B15" w:rsidRPr="0019293A" w:rsidRDefault="00293D73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350B1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350B15">
        <w:rPr>
          <w:rFonts w:ascii="Times New Roman" w:hAnsi="Times New Roman" w:cs="Times New Roman"/>
          <w:b/>
          <w:sz w:val="24"/>
          <w:szCs w:val="24"/>
        </w:rPr>
        <w:t>9</w:t>
      </w:r>
      <w:r w:rsidR="00350B15" w:rsidRPr="00063A60">
        <w:rPr>
          <w:rFonts w:ascii="Times New Roman" w:hAnsi="Times New Roman" w:cs="Times New Roman"/>
          <w:b/>
          <w:sz w:val="24"/>
          <w:szCs w:val="24"/>
        </w:rPr>
        <w:t>0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>
        <w:rPr>
          <w:rFonts w:ascii="Times New Roman" w:hAnsi="Times New Roman" w:cs="Times New Roman"/>
          <w:sz w:val="24"/>
          <w:szCs w:val="24"/>
        </w:rPr>
        <w:br/>
      </w:r>
      <w:r w:rsidR="00350B15" w:rsidRPr="0019293A">
        <w:rPr>
          <w:rFonts w:ascii="Times New Roman" w:hAnsi="Times New Roman" w:cs="Times New Roman"/>
          <w:sz w:val="24"/>
          <w:szCs w:val="24"/>
        </w:rPr>
        <w:t>«</w:t>
      </w:r>
      <w:r w:rsidR="00350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житлово-комунального господарства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17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350B15" w:rsidRDefault="00350B15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B15" w:rsidRDefault="00293D73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50B15">
        <w:rPr>
          <w:rFonts w:ascii="Times New Roman" w:hAnsi="Times New Roman" w:cs="Times New Roman"/>
          <w:sz w:val="24"/>
          <w:szCs w:val="24"/>
        </w:rPr>
        <w:t>Внести зміни та 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350B1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50B1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="00350B1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0B15">
        <w:rPr>
          <w:rFonts w:ascii="Times New Roman" w:hAnsi="Times New Roman" w:cs="Times New Roman"/>
          <w:sz w:val="24"/>
          <w:szCs w:val="24"/>
        </w:rPr>
        <w:br/>
      </w:r>
      <w:r w:rsidR="00350B15" w:rsidRPr="0019293A">
        <w:rPr>
          <w:rFonts w:ascii="Times New Roman" w:hAnsi="Times New Roman" w:cs="Times New Roman"/>
          <w:sz w:val="24"/>
          <w:szCs w:val="24"/>
        </w:rPr>
        <w:t>«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Здійснення заходів із землеустрою»,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18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350B15" w:rsidRDefault="00350B15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0117350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Розроблення схем планування та забудови територій (містобудівної документації)»,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19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Pr="0019293A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0117411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20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Pr="0019293A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Pr="0019293A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873611">
        <w:rPr>
          <w:rFonts w:ascii="Times New Roman" w:hAnsi="Times New Roman" w:cs="Times New Roman"/>
          <w:b/>
          <w:sz w:val="24"/>
          <w:szCs w:val="24"/>
        </w:rPr>
        <w:t>0118230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Інші заходи громадського порядку та безпеки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D9E" w:rsidRPr="0019293A" w:rsidRDefault="00664D9E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664D9E" w:rsidRPr="0019293A" w:rsidRDefault="00664D9E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D9E" w:rsidRPr="0019293A" w:rsidRDefault="00664D9E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Контроль щодо виконання цього розпорядження покласти на начальника  </w:t>
      </w:r>
      <w:r>
        <w:rPr>
          <w:rFonts w:ascii="Times New Roman" w:hAnsi="Times New Roman" w:cs="Times New Roman"/>
          <w:sz w:val="24"/>
          <w:szCs w:val="24"/>
        </w:rPr>
        <w:t>відділу бухгалтерського обліку, фінансового та господарсько-організаційного забезпечення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664D9E" w:rsidRPr="0019293A" w:rsidRDefault="00664D9E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63A60"/>
    <w:rsid w:val="0009378E"/>
    <w:rsid w:val="000D112F"/>
    <w:rsid w:val="0019293A"/>
    <w:rsid w:val="00276C48"/>
    <w:rsid w:val="00293D73"/>
    <w:rsid w:val="002C0FFC"/>
    <w:rsid w:val="00350B15"/>
    <w:rsid w:val="00390319"/>
    <w:rsid w:val="00470528"/>
    <w:rsid w:val="004863A3"/>
    <w:rsid w:val="005471CD"/>
    <w:rsid w:val="00550F9F"/>
    <w:rsid w:val="00562C8B"/>
    <w:rsid w:val="005C3152"/>
    <w:rsid w:val="00623F45"/>
    <w:rsid w:val="00664D9E"/>
    <w:rsid w:val="00716DE2"/>
    <w:rsid w:val="007B2B08"/>
    <w:rsid w:val="00873611"/>
    <w:rsid w:val="00876E4B"/>
    <w:rsid w:val="008D54AC"/>
    <w:rsid w:val="00957853"/>
    <w:rsid w:val="00961A50"/>
    <w:rsid w:val="009A2061"/>
    <w:rsid w:val="009A53BE"/>
    <w:rsid w:val="009F0FD9"/>
    <w:rsid w:val="00A00E6C"/>
    <w:rsid w:val="00A8770A"/>
    <w:rsid w:val="00AB5D30"/>
    <w:rsid w:val="00BE6383"/>
    <w:rsid w:val="00C54F21"/>
    <w:rsid w:val="00C77670"/>
    <w:rsid w:val="00D75718"/>
    <w:rsid w:val="00D930E8"/>
    <w:rsid w:val="00EE101E"/>
    <w:rsid w:val="00F8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2021-03-02T13:17:00Z</cp:lastPrinted>
  <dcterms:created xsi:type="dcterms:W3CDTF">2019-02-05T15:31:00Z</dcterms:created>
  <dcterms:modified xsi:type="dcterms:W3CDTF">2021-03-02T14:57:00Z</dcterms:modified>
</cp:coreProperties>
</file>